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19DFF" w14:textId="77777777" w:rsidR="009D7026" w:rsidRDefault="009D7026" w:rsidP="009D7026">
      <w:pPr>
        <w:spacing w:before="17"/>
        <w:ind w:right="2667"/>
        <w:rPr>
          <w:rFonts w:ascii="Calibri"/>
          <w:b/>
          <w:spacing w:val="-1"/>
          <w:sz w:val="32"/>
        </w:rPr>
      </w:pPr>
    </w:p>
    <w:p w14:paraId="052749E2" w14:textId="77777777" w:rsidR="009D7026" w:rsidRDefault="009D7026" w:rsidP="009D7026">
      <w:pPr>
        <w:spacing w:before="17"/>
        <w:ind w:right="2667"/>
        <w:rPr>
          <w:rFonts w:ascii="Calibri"/>
          <w:b/>
          <w:spacing w:val="-1"/>
          <w:sz w:val="32"/>
        </w:rPr>
      </w:pPr>
    </w:p>
    <w:p w14:paraId="4F4A1B86" w14:textId="77777777" w:rsidR="009D7026" w:rsidRPr="00A20A63" w:rsidRDefault="009D7026" w:rsidP="009D7026">
      <w:pPr>
        <w:spacing w:before="17"/>
        <w:jc w:val="center"/>
        <w:rPr>
          <w:rFonts w:cstheme="minorHAnsi"/>
          <w:b/>
          <w:noProof/>
          <w:sz w:val="52"/>
          <w:szCs w:val="64"/>
        </w:rPr>
      </w:pPr>
      <w:r w:rsidRPr="00A20A63">
        <w:rPr>
          <w:rFonts w:cstheme="minorHAnsi"/>
          <w:b/>
          <w:noProof/>
          <w:sz w:val="52"/>
          <w:szCs w:val="64"/>
        </w:rPr>
        <w:t>Governor’s Office of Man</w:t>
      </w:r>
      <w:r>
        <w:rPr>
          <w:rFonts w:cstheme="minorHAnsi"/>
          <w:b/>
          <w:noProof/>
          <w:sz w:val="52"/>
          <w:szCs w:val="64"/>
        </w:rPr>
        <w:t>a</w:t>
      </w:r>
      <w:r w:rsidRPr="00A20A63">
        <w:rPr>
          <w:rFonts w:cstheme="minorHAnsi"/>
          <w:b/>
          <w:noProof/>
          <w:sz w:val="52"/>
          <w:szCs w:val="64"/>
        </w:rPr>
        <w:t>gement and Budget</w:t>
      </w:r>
    </w:p>
    <w:p w14:paraId="690EB4E6" w14:textId="77777777" w:rsidR="009D7026" w:rsidRPr="00E675D7" w:rsidRDefault="009D7026" w:rsidP="009D7026">
      <w:pPr>
        <w:jc w:val="center"/>
        <w:rPr>
          <w:rFonts w:cstheme="minorHAnsi"/>
          <w:noProof/>
          <w:sz w:val="44"/>
          <w:szCs w:val="44"/>
        </w:rPr>
      </w:pPr>
      <w:r w:rsidRPr="00E675D7">
        <w:rPr>
          <w:rFonts w:cstheme="minorHAnsi"/>
          <w:noProof/>
          <w:sz w:val="44"/>
          <w:szCs w:val="44"/>
        </w:rPr>
        <w:t>Alexis Sturm</w:t>
      </w:r>
    </w:p>
    <w:p w14:paraId="743ED7DC" w14:textId="77777777" w:rsidR="009D7026" w:rsidRPr="00E675D7" w:rsidRDefault="009D7026" w:rsidP="009D7026">
      <w:pPr>
        <w:jc w:val="center"/>
        <w:rPr>
          <w:rFonts w:cstheme="minorHAnsi"/>
          <w:noProof/>
          <w:sz w:val="44"/>
          <w:szCs w:val="44"/>
        </w:rPr>
      </w:pPr>
      <w:r w:rsidRPr="00E675D7">
        <w:rPr>
          <w:rFonts w:cstheme="minorHAnsi"/>
          <w:noProof/>
          <w:sz w:val="44"/>
          <w:szCs w:val="44"/>
        </w:rPr>
        <w:t>Director</w:t>
      </w:r>
    </w:p>
    <w:p w14:paraId="29EBF9E0" w14:textId="77777777" w:rsidR="009D7026" w:rsidRPr="00561D3D" w:rsidRDefault="009D7026" w:rsidP="009D7026">
      <w:pPr>
        <w:jc w:val="center"/>
        <w:rPr>
          <w:rFonts w:cstheme="minorHAnsi"/>
          <w:spacing w:val="-1"/>
          <w:sz w:val="64"/>
          <w:szCs w:val="64"/>
        </w:rPr>
      </w:pPr>
    </w:p>
    <w:p w14:paraId="5CDDD007" w14:textId="77777777" w:rsidR="009D7026" w:rsidRDefault="009D7026" w:rsidP="009D7026">
      <w:pPr>
        <w:spacing w:before="17"/>
        <w:ind w:right="2667"/>
        <w:rPr>
          <w:rFonts w:ascii="Calibri"/>
          <w:b/>
          <w:spacing w:val="-1"/>
          <w:sz w:val="32"/>
        </w:rPr>
      </w:pPr>
    </w:p>
    <w:p w14:paraId="44828B96" w14:textId="77777777" w:rsidR="009D7026" w:rsidRDefault="009D7026" w:rsidP="009D7026">
      <w:pPr>
        <w:spacing w:before="17"/>
        <w:ind w:left="2665" w:right="2667"/>
        <w:jc w:val="center"/>
        <w:rPr>
          <w:rFonts w:ascii="Calibri"/>
          <w:b/>
          <w:spacing w:val="-1"/>
          <w:sz w:val="32"/>
        </w:rPr>
      </w:pPr>
      <w:r>
        <w:rPr>
          <w:noProof/>
        </w:rPr>
        <w:drawing>
          <wp:inline distT="0" distB="0" distL="0" distR="0" wp14:anchorId="614E39CD" wp14:editId="110C4A16">
            <wp:extent cx="1993531" cy="2002221"/>
            <wp:effectExtent l="0" t="0" r="6985" b="0"/>
            <wp:docPr id="253" name="Picture 253" descr="http://www.seniorabuselaw.com/wp-content/uploads/2013/12/illinois-sea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niorabuselaw.com/wp-content/uploads/2013/12/illinois-seal.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7127" cy="2015876"/>
                    </a:xfrm>
                    <a:prstGeom prst="rect">
                      <a:avLst/>
                    </a:prstGeom>
                    <a:noFill/>
                    <a:ln>
                      <a:noFill/>
                    </a:ln>
                  </pic:spPr>
                </pic:pic>
              </a:graphicData>
            </a:graphic>
          </wp:inline>
        </w:drawing>
      </w:r>
    </w:p>
    <w:p w14:paraId="5F31DAAC" w14:textId="77777777" w:rsidR="009D7026" w:rsidRDefault="009D7026" w:rsidP="009D7026">
      <w:pPr>
        <w:spacing w:before="1"/>
        <w:rPr>
          <w:rFonts w:ascii="Calibri" w:eastAsia="Calibri" w:hAnsi="Calibri" w:cs="Calibri"/>
          <w:b/>
          <w:bCs/>
          <w:sz w:val="24"/>
          <w:szCs w:val="24"/>
        </w:rPr>
      </w:pPr>
    </w:p>
    <w:p w14:paraId="169EE8E1" w14:textId="77777777" w:rsidR="009D7026" w:rsidRDefault="009D7026" w:rsidP="009D7026">
      <w:pPr>
        <w:spacing w:before="1"/>
        <w:jc w:val="center"/>
        <w:rPr>
          <w:rFonts w:ascii="Calibri" w:eastAsia="Calibri" w:hAnsi="Calibri" w:cs="Calibri"/>
          <w:bCs/>
          <w:sz w:val="64"/>
          <w:szCs w:val="64"/>
        </w:rPr>
      </w:pPr>
    </w:p>
    <w:p w14:paraId="6958C4E5" w14:textId="77777777" w:rsidR="009D7026" w:rsidRPr="00851956" w:rsidRDefault="009D7026" w:rsidP="009D7026">
      <w:pPr>
        <w:spacing w:before="1"/>
        <w:jc w:val="center"/>
        <w:rPr>
          <w:rFonts w:ascii="Calibri" w:eastAsia="Calibri" w:hAnsi="Calibri" w:cs="Calibri"/>
          <w:bCs/>
          <w:sz w:val="56"/>
          <w:szCs w:val="56"/>
        </w:rPr>
      </w:pPr>
      <w:r w:rsidRPr="00851956">
        <w:rPr>
          <w:rFonts w:ascii="Calibri" w:eastAsia="Calibri" w:hAnsi="Calibri" w:cs="Calibri"/>
          <w:bCs/>
          <w:sz w:val="56"/>
          <w:szCs w:val="56"/>
        </w:rPr>
        <w:t xml:space="preserve">IL Regulatory Sunset Act Review </w:t>
      </w:r>
    </w:p>
    <w:p w14:paraId="0D867823" w14:textId="77777777" w:rsidR="009D7026" w:rsidRPr="00851956" w:rsidRDefault="009D7026" w:rsidP="009D7026">
      <w:pPr>
        <w:spacing w:before="1"/>
        <w:jc w:val="center"/>
        <w:rPr>
          <w:rFonts w:ascii="Calibri" w:eastAsia="Calibri" w:hAnsi="Calibri" w:cs="Calibri"/>
          <w:bCs/>
          <w:sz w:val="56"/>
          <w:szCs w:val="56"/>
        </w:rPr>
      </w:pPr>
      <w:r w:rsidRPr="00851956">
        <w:rPr>
          <w:rFonts w:ascii="Calibri" w:eastAsia="Calibri" w:hAnsi="Calibri" w:cs="Calibri"/>
          <w:bCs/>
          <w:sz w:val="56"/>
          <w:szCs w:val="56"/>
        </w:rPr>
        <w:t>of</w:t>
      </w:r>
    </w:p>
    <w:p w14:paraId="7ABB7C40" w14:textId="77777777" w:rsidR="009D7026" w:rsidRPr="00C129FB" w:rsidRDefault="009D7026" w:rsidP="009D7026">
      <w:pPr>
        <w:spacing w:before="1"/>
        <w:jc w:val="center"/>
        <w:rPr>
          <w:rFonts w:ascii="Calibri" w:eastAsia="Calibri" w:hAnsi="Calibri" w:cs="Calibri"/>
          <w:bCs/>
          <w:sz w:val="56"/>
          <w:szCs w:val="56"/>
        </w:rPr>
      </w:pPr>
      <w:r w:rsidRPr="009D7026">
        <w:rPr>
          <w:rFonts w:ascii="Calibri" w:eastAsia="Calibri" w:hAnsi="Calibri" w:cs="Calibri"/>
          <w:bCs/>
          <w:sz w:val="56"/>
          <w:szCs w:val="56"/>
        </w:rPr>
        <w:t>Illinois Health Informa</w:t>
      </w:r>
      <w:r>
        <w:rPr>
          <w:rFonts w:ascii="Calibri" w:eastAsia="Calibri" w:hAnsi="Calibri" w:cs="Calibri"/>
          <w:bCs/>
          <w:sz w:val="56"/>
          <w:szCs w:val="56"/>
        </w:rPr>
        <w:t xml:space="preserve">tion Exchange and Technology </w:t>
      </w:r>
      <w:r w:rsidRPr="00C129FB">
        <w:rPr>
          <w:rFonts w:ascii="Calibri" w:eastAsia="Calibri" w:hAnsi="Calibri" w:cs="Calibri"/>
          <w:bCs/>
          <w:sz w:val="56"/>
          <w:szCs w:val="56"/>
        </w:rPr>
        <w:t>Act</w:t>
      </w:r>
    </w:p>
    <w:p w14:paraId="059AA388" w14:textId="77777777" w:rsidR="009D7026" w:rsidRDefault="009D7026" w:rsidP="009D7026">
      <w:pPr>
        <w:spacing w:before="1"/>
        <w:rPr>
          <w:rFonts w:ascii="Calibri" w:eastAsia="Calibri" w:hAnsi="Calibri" w:cs="Calibri"/>
          <w:bCs/>
          <w:sz w:val="52"/>
          <w:szCs w:val="64"/>
        </w:rPr>
      </w:pPr>
    </w:p>
    <w:p w14:paraId="18804AB0" w14:textId="2EE6562B" w:rsidR="009D7026" w:rsidRPr="00FB68F5" w:rsidRDefault="00462691" w:rsidP="009D7026">
      <w:pPr>
        <w:spacing w:before="1"/>
        <w:jc w:val="center"/>
        <w:rPr>
          <w:rFonts w:ascii="Calibri" w:eastAsia="Calibri" w:hAnsi="Calibri" w:cs="Calibri"/>
          <w:bCs/>
          <w:sz w:val="44"/>
          <w:szCs w:val="44"/>
        </w:rPr>
      </w:pPr>
      <w:r w:rsidRPr="00EB3979">
        <w:rPr>
          <w:rFonts w:ascii="Calibri" w:eastAsia="Calibri" w:hAnsi="Calibri" w:cs="Calibri"/>
          <w:bCs/>
          <w:sz w:val="44"/>
          <w:szCs w:val="44"/>
          <w:highlight w:val="yellow"/>
        </w:rPr>
        <w:t>Month Day</w:t>
      </w:r>
      <w:r w:rsidR="00FB68F5" w:rsidRPr="00FB68F5">
        <w:rPr>
          <w:rFonts w:ascii="Calibri" w:eastAsia="Calibri" w:hAnsi="Calibri" w:cs="Calibri"/>
          <w:bCs/>
          <w:sz w:val="44"/>
          <w:szCs w:val="44"/>
        </w:rPr>
        <w:t>, 20</w:t>
      </w:r>
      <w:r w:rsidR="00647961">
        <w:rPr>
          <w:rFonts w:ascii="Calibri" w:eastAsia="Calibri" w:hAnsi="Calibri" w:cs="Calibri"/>
          <w:bCs/>
          <w:sz w:val="44"/>
          <w:szCs w:val="44"/>
        </w:rPr>
        <w:t>2</w:t>
      </w:r>
      <w:r w:rsidR="000B5F92">
        <w:rPr>
          <w:rFonts w:ascii="Calibri" w:eastAsia="Calibri" w:hAnsi="Calibri" w:cs="Calibri"/>
          <w:bCs/>
          <w:sz w:val="44"/>
          <w:szCs w:val="44"/>
        </w:rPr>
        <w:t>1</w:t>
      </w:r>
    </w:p>
    <w:p w14:paraId="0CBDF0D9" w14:textId="77777777" w:rsidR="00FB68F5" w:rsidRPr="00A960BA" w:rsidRDefault="00FB68F5" w:rsidP="00FB68F5">
      <w:pPr>
        <w:spacing w:before="1"/>
        <w:rPr>
          <w:rFonts w:ascii="Calibri" w:eastAsia="Calibri" w:hAnsi="Calibri" w:cs="Calibri"/>
          <w:bCs/>
          <w:color w:val="FF0000"/>
          <w:sz w:val="44"/>
          <w:szCs w:val="44"/>
        </w:rPr>
      </w:pPr>
    </w:p>
    <w:p w14:paraId="6DCD5D11" w14:textId="77777777" w:rsidR="009D7026" w:rsidRDefault="009D7026" w:rsidP="009D7026">
      <w:pPr>
        <w:spacing w:before="1"/>
        <w:rPr>
          <w:rFonts w:ascii="Calibri" w:eastAsia="Calibri" w:hAnsi="Calibri" w:cs="Calibri"/>
          <w:b/>
          <w:bCs/>
          <w:sz w:val="24"/>
          <w:szCs w:val="24"/>
        </w:rPr>
      </w:pPr>
    </w:p>
    <w:p w14:paraId="7A7843C4" w14:textId="77777777" w:rsidR="009D7026" w:rsidRDefault="009D7026" w:rsidP="009D7026">
      <w:pPr>
        <w:spacing w:before="1"/>
        <w:rPr>
          <w:rFonts w:ascii="Calibri" w:eastAsia="Calibri" w:hAnsi="Calibri" w:cs="Calibri"/>
          <w:b/>
          <w:bCs/>
          <w:sz w:val="24"/>
          <w:szCs w:val="24"/>
        </w:rPr>
      </w:pPr>
    </w:p>
    <w:p w14:paraId="72CCBA4D" w14:textId="77777777" w:rsidR="009D7026" w:rsidRDefault="009D7026" w:rsidP="009D7026">
      <w:pPr>
        <w:spacing w:before="1"/>
        <w:rPr>
          <w:rFonts w:ascii="Calibri" w:eastAsia="Calibri" w:hAnsi="Calibri" w:cs="Calibri"/>
          <w:b/>
          <w:bCs/>
          <w:sz w:val="24"/>
          <w:szCs w:val="24"/>
        </w:rPr>
      </w:pPr>
    </w:p>
    <w:p w14:paraId="3313FECE" w14:textId="77777777" w:rsidR="009D7026" w:rsidRPr="00E675D7" w:rsidRDefault="009D7026" w:rsidP="009D7026">
      <w:pPr>
        <w:spacing w:before="1"/>
        <w:jc w:val="center"/>
        <w:rPr>
          <w:rFonts w:ascii="Calibri" w:eastAsia="Calibri" w:hAnsi="Calibri" w:cs="Calibri"/>
          <w:b/>
          <w:bCs/>
        </w:rPr>
      </w:pPr>
      <w:r w:rsidRPr="00E675D7">
        <w:rPr>
          <w:rFonts w:ascii="Calibri" w:eastAsia="Calibri" w:hAnsi="Calibri" w:cs="Calibri"/>
          <w:b/>
          <w:bCs/>
        </w:rPr>
        <w:t xml:space="preserve">To the Honorable JB Pritzker </w:t>
      </w:r>
    </w:p>
    <w:p w14:paraId="2122EECB" w14:textId="77777777" w:rsidR="009D7026" w:rsidRPr="00E675D7" w:rsidRDefault="009D7026" w:rsidP="009D7026">
      <w:pPr>
        <w:spacing w:before="1"/>
        <w:jc w:val="center"/>
        <w:rPr>
          <w:rFonts w:ascii="Calibri" w:eastAsia="Calibri" w:hAnsi="Calibri" w:cs="Calibri"/>
          <w:b/>
          <w:bCs/>
        </w:rPr>
      </w:pPr>
      <w:r w:rsidRPr="00E675D7">
        <w:rPr>
          <w:rFonts w:ascii="Calibri" w:eastAsia="Calibri" w:hAnsi="Calibri" w:cs="Calibri"/>
          <w:b/>
          <w:bCs/>
        </w:rPr>
        <w:t xml:space="preserve">Governor of Illinois </w:t>
      </w:r>
    </w:p>
    <w:p w14:paraId="542F9FF0" w14:textId="77777777" w:rsidR="009D7026" w:rsidRPr="00E675D7" w:rsidRDefault="009D7026" w:rsidP="009D7026">
      <w:pPr>
        <w:spacing w:before="1"/>
        <w:jc w:val="center"/>
        <w:rPr>
          <w:rFonts w:ascii="Calibri" w:eastAsia="Calibri" w:hAnsi="Calibri" w:cs="Calibri"/>
          <w:b/>
          <w:bCs/>
        </w:rPr>
      </w:pPr>
    </w:p>
    <w:p w14:paraId="42178AE3" w14:textId="77777777" w:rsidR="009D7026" w:rsidRPr="00E675D7" w:rsidRDefault="009D7026" w:rsidP="009D7026">
      <w:pPr>
        <w:spacing w:before="1"/>
        <w:jc w:val="center"/>
        <w:rPr>
          <w:rFonts w:ascii="Calibri" w:eastAsia="Calibri" w:hAnsi="Calibri" w:cs="Calibri"/>
          <w:b/>
          <w:bCs/>
        </w:rPr>
      </w:pPr>
    </w:p>
    <w:p w14:paraId="1C37F1FF" w14:textId="77777777" w:rsidR="009D7026" w:rsidRPr="00E675D7" w:rsidRDefault="009D7026" w:rsidP="009D7026">
      <w:pPr>
        <w:spacing w:before="1"/>
        <w:rPr>
          <w:rFonts w:ascii="Calibri" w:eastAsia="Calibri" w:hAnsi="Calibri" w:cs="Calibri"/>
          <w:bCs/>
        </w:rPr>
      </w:pPr>
      <w:r w:rsidRPr="00E675D7">
        <w:rPr>
          <w:rFonts w:ascii="Calibri" w:eastAsia="Calibri" w:hAnsi="Calibri" w:cs="Calibri"/>
          <w:bCs/>
        </w:rPr>
        <w:t>Governor Pritzker:</w:t>
      </w:r>
    </w:p>
    <w:p w14:paraId="294B7AB6" w14:textId="77777777" w:rsidR="009D7026" w:rsidRPr="00E675D7" w:rsidRDefault="009D7026" w:rsidP="009D7026">
      <w:pPr>
        <w:spacing w:before="1"/>
        <w:rPr>
          <w:rFonts w:ascii="Calibri" w:eastAsia="Calibri" w:hAnsi="Calibri" w:cs="Calibri"/>
          <w:bCs/>
        </w:rPr>
      </w:pPr>
    </w:p>
    <w:p w14:paraId="4FAF5F00" w14:textId="0E229894" w:rsidR="009D7026" w:rsidRDefault="009D7026" w:rsidP="009D7026">
      <w:pPr>
        <w:spacing w:before="1"/>
        <w:rPr>
          <w:rFonts w:ascii="Calibri" w:eastAsia="Calibri" w:hAnsi="Calibri" w:cs="Calibri"/>
          <w:bCs/>
        </w:rPr>
      </w:pPr>
      <w:r w:rsidRPr="00E675D7">
        <w:rPr>
          <w:rFonts w:ascii="Calibri" w:eastAsia="Calibri" w:hAnsi="Calibri" w:cs="Calibri"/>
          <w:bCs/>
        </w:rPr>
        <w:t>The Governor’s Office of Management and Budget (GOMB), in compliance with the requirements set forth in the Illinois Regulatory Sunset Act (</w:t>
      </w:r>
      <w:r w:rsidRPr="001D2E84">
        <w:rPr>
          <w:rFonts w:ascii="Calibri" w:eastAsia="Calibri" w:hAnsi="Calibri" w:cs="Calibri"/>
          <w:bCs/>
        </w:rPr>
        <w:t>5 ILCS 80</w:t>
      </w:r>
      <w:r w:rsidRPr="00E675D7">
        <w:rPr>
          <w:rFonts w:ascii="Calibri" w:eastAsia="Calibri" w:hAnsi="Calibri" w:cs="Calibri"/>
          <w:bCs/>
        </w:rPr>
        <w:t xml:space="preserve">), has conducted a review of </w:t>
      </w:r>
      <w:r>
        <w:rPr>
          <w:rFonts w:ascii="Calibri" w:eastAsia="Calibri" w:hAnsi="Calibri" w:cs="Calibri"/>
          <w:bCs/>
        </w:rPr>
        <w:t xml:space="preserve">the </w:t>
      </w:r>
      <w:r w:rsidRPr="009D7026">
        <w:rPr>
          <w:rFonts w:ascii="Calibri" w:eastAsia="Calibri" w:hAnsi="Calibri" w:cs="Calibri"/>
          <w:bCs/>
        </w:rPr>
        <w:t>Illinois Health Information Exchange and Technology Act</w:t>
      </w:r>
      <w:r w:rsidRPr="00641659">
        <w:rPr>
          <w:rFonts w:ascii="Calibri" w:eastAsia="Calibri" w:hAnsi="Calibri" w:cs="Calibri"/>
          <w:bCs/>
        </w:rPr>
        <w:t xml:space="preserve"> </w:t>
      </w:r>
      <w:r w:rsidRPr="00E675D7">
        <w:rPr>
          <w:rFonts w:ascii="Calibri" w:eastAsia="Calibri" w:hAnsi="Calibri" w:cs="Calibri"/>
          <w:bCs/>
        </w:rPr>
        <w:t>(</w:t>
      </w:r>
      <w:r w:rsidRPr="009D7026">
        <w:rPr>
          <w:rFonts w:ascii="Calibri" w:eastAsia="Calibri" w:hAnsi="Calibri" w:cs="Calibri"/>
          <w:bCs/>
        </w:rPr>
        <w:t>20 ILCS 3860</w:t>
      </w:r>
      <w:r w:rsidRPr="00E675D7">
        <w:rPr>
          <w:rFonts w:ascii="Calibri" w:eastAsia="Calibri" w:hAnsi="Calibri" w:cs="Calibri"/>
          <w:bCs/>
        </w:rPr>
        <w:t>)</w:t>
      </w:r>
      <w:r w:rsidR="004701A4">
        <w:rPr>
          <w:rFonts w:ascii="Calibri" w:eastAsia="Calibri" w:hAnsi="Calibri" w:cs="Calibri"/>
          <w:bCs/>
        </w:rPr>
        <w:t xml:space="preserve">. </w:t>
      </w:r>
      <w:r w:rsidR="004701A4" w:rsidRPr="00AC53CE">
        <w:rPr>
          <w:rFonts w:ascii="Calibri" w:eastAsia="Calibri" w:hAnsi="Calibri" w:cs="Calibri"/>
          <w:bCs/>
        </w:rPr>
        <w:t xml:space="preserve">Public Act 101-639 extended this sunset until </w:t>
      </w:r>
      <w:r w:rsidR="004701A4">
        <w:rPr>
          <w:rFonts w:ascii="Calibri" w:eastAsia="Calibri" w:hAnsi="Calibri" w:cs="Calibri"/>
          <w:bCs/>
        </w:rPr>
        <w:t xml:space="preserve">January 1, 2022 </w:t>
      </w:r>
      <w:r w:rsidR="004701A4" w:rsidRPr="00AC53CE">
        <w:rPr>
          <w:rFonts w:ascii="Calibri" w:eastAsia="Calibri" w:hAnsi="Calibri" w:cs="Calibri"/>
          <w:bCs/>
        </w:rPr>
        <w:t>due to COVID-19</w:t>
      </w:r>
      <w:bookmarkStart w:id="0" w:name="_GoBack"/>
      <w:bookmarkEnd w:id="0"/>
      <w:r w:rsidRPr="00E675D7">
        <w:rPr>
          <w:rFonts w:ascii="Calibri" w:eastAsia="Calibri" w:hAnsi="Calibri" w:cs="Calibri"/>
          <w:bCs/>
        </w:rPr>
        <w:t>. As a result of this review, GOMB makes the following recommendation:</w:t>
      </w:r>
    </w:p>
    <w:p w14:paraId="15DC5666" w14:textId="77777777" w:rsidR="009D7026" w:rsidRDefault="009D7026" w:rsidP="009D7026">
      <w:pPr>
        <w:spacing w:before="1"/>
        <w:rPr>
          <w:rFonts w:ascii="Calibri" w:eastAsia="Calibri" w:hAnsi="Calibri" w:cs="Calibri"/>
          <w:bCs/>
        </w:rPr>
      </w:pPr>
    </w:p>
    <w:p w14:paraId="40EB40E6" w14:textId="77777777" w:rsidR="009D7026" w:rsidRPr="0063071A" w:rsidRDefault="009D7026" w:rsidP="009D7026">
      <w:pPr>
        <w:spacing w:before="1"/>
        <w:rPr>
          <w:rFonts w:ascii="Calibri" w:eastAsia="Calibri" w:hAnsi="Calibri" w:cs="Calibri"/>
          <w:bCs/>
        </w:rPr>
      </w:pPr>
      <w:r w:rsidRPr="0063071A">
        <w:rPr>
          <w:rFonts w:ascii="Calibri" w:eastAsia="Calibri" w:hAnsi="Calibri" w:cs="Calibri"/>
          <w:bCs/>
        </w:rPr>
        <w:t>The Illinois Health Information Exchange and Technology Act (20 ILCS 3860) should be continued</w:t>
      </w:r>
      <w:r w:rsidR="0063071A" w:rsidRPr="0063071A">
        <w:rPr>
          <w:rFonts w:ascii="Calibri" w:eastAsia="Calibri" w:hAnsi="Calibri" w:cs="Calibri"/>
          <w:bCs/>
        </w:rPr>
        <w:t>.</w:t>
      </w:r>
    </w:p>
    <w:p w14:paraId="1C259A17" w14:textId="77777777" w:rsidR="0063071A" w:rsidRPr="00E675D7" w:rsidRDefault="0063071A" w:rsidP="009D7026">
      <w:pPr>
        <w:spacing w:before="1"/>
        <w:rPr>
          <w:rFonts w:ascii="Calibri" w:eastAsia="Calibri" w:hAnsi="Calibri" w:cs="Calibri"/>
          <w:bCs/>
        </w:rPr>
      </w:pPr>
    </w:p>
    <w:p w14:paraId="6995125C" w14:textId="77777777" w:rsidR="009D7026" w:rsidRPr="00E675D7" w:rsidRDefault="009D7026" w:rsidP="009D7026">
      <w:pPr>
        <w:rPr>
          <w:rFonts w:ascii="Calibri" w:eastAsia="Calibri" w:hAnsi="Calibri" w:cs="Calibri"/>
          <w:b/>
          <w:bCs/>
        </w:rPr>
      </w:pPr>
      <w:r w:rsidRPr="00E675D7">
        <w:rPr>
          <w:rFonts w:ascii="Calibri" w:eastAsia="Calibri" w:hAnsi="Calibri" w:cs="Calibri"/>
          <w:bCs/>
        </w:rPr>
        <w:t xml:space="preserve">GOMB’s examination of this </w:t>
      </w:r>
      <w:r>
        <w:rPr>
          <w:rFonts w:ascii="Calibri" w:eastAsia="Calibri" w:hAnsi="Calibri" w:cs="Calibri"/>
          <w:bCs/>
        </w:rPr>
        <w:t>A</w:t>
      </w:r>
      <w:r w:rsidRPr="00E675D7">
        <w:rPr>
          <w:rFonts w:ascii="Calibri" w:eastAsia="Calibri" w:hAnsi="Calibri" w:cs="Calibri"/>
          <w:bCs/>
        </w:rPr>
        <w:t xml:space="preserve">ct was conducted taking into account the nine factors set out in Section 6 of the Illinois Regulatory Sunset Act. The following report details the criteria and data utilized to come to the above recommendation. </w:t>
      </w:r>
      <w:r w:rsidRPr="00E675D7">
        <w:rPr>
          <w:rFonts w:ascii="Calibri" w:eastAsia="Calibri" w:hAnsi="Calibri" w:cs="Calibri"/>
          <w:b/>
          <w:bCs/>
        </w:rPr>
        <w:t xml:space="preserve">  </w:t>
      </w:r>
    </w:p>
    <w:p w14:paraId="16EE417F" w14:textId="77777777" w:rsidR="009D7026" w:rsidRPr="00E675D7" w:rsidRDefault="009D7026" w:rsidP="009D7026">
      <w:pPr>
        <w:rPr>
          <w:rFonts w:ascii="Calibri" w:eastAsia="Calibri" w:hAnsi="Calibri" w:cs="Calibri"/>
          <w:b/>
          <w:bCs/>
        </w:rPr>
      </w:pPr>
    </w:p>
    <w:p w14:paraId="4D535218" w14:textId="77777777" w:rsidR="009D7026" w:rsidRPr="00E675D7" w:rsidRDefault="009D7026" w:rsidP="009D7026">
      <w:pPr>
        <w:rPr>
          <w:rFonts w:ascii="Calibri" w:eastAsia="Calibri" w:hAnsi="Calibri" w:cs="Calibri"/>
          <w:bCs/>
        </w:rPr>
      </w:pPr>
      <w:r>
        <w:rPr>
          <w:rFonts w:ascii="Calibri" w:eastAsia="Calibri" w:hAnsi="Calibri" w:cs="Calibri"/>
          <w:bCs/>
        </w:rPr>
        <w:t>Very s</w:t>
      </w:r>
      <w:r w:rsidRPr="00E675D7">
        <w:rPr>
          <w:rFonts w:ascii="Calibri" w:eastAsia="Calibri" w:hAnsi="Calibri" w:cs="Calibri"/>
          <w:bCs/>
        </w:rPr>
        <w:t>incerely and respectfully,</w:t>
      </w:r>
    </w:p>
    <w:p w14:paraId="10813BF6" w14:textId="77777777" w:rsidR="009D7026" w:rsidRPr="00E675D7" w:rsidRDefault="009D7026" w:rsidP="009D7026">
      <w:pPr>
        <w:rPr>
          <w:rFonts w:ascii="Calibri" w:eastAsia="Calibri" w:hAnsi="Calibri" w:cs="Calibri"/>
          <w:bCs/>
        </w:rPr>
      </w:pPr>
    </w:p>
    <w:p w14:paraId="48E60CA8" w14:textId="77777777" w:rsidR="009D7026" w:rsidRPr="00E675D7" w:rsidRDefault="009D7026" w:rsidP="009D7026">
      <w:pPr>
        <w:rPr>
          <w:rFonts w:ascii="Calibri" w:eastAsia="Calibri" w:hAnsi="Calibri" w:cs="Calibri"/>
          <w:bCs/>
        </w:rPr>
      </w:pPr>
      <w:r w:rsidRPr="00E675D7">
        <w:rPr>
          <w:rFonts w:ascii="Calibri" w:eastAsia="Calibri" w:hAnsi="Calibri" w:cs="Calibri"/>
          <w:bCs/>
        </w:rPr>
        <w:t xml:space="preserve">Alexis Sturm </w:t>
      </w:r>
    </w:p>
    <w:p w14:paraId="3C805D07" w14:textId="77777777" w:rsidR="009D7026" w:rsidRPr="00E675D7" w:rsidRDefault="009D7026" w:rsidP="009D7026">
      <w:pPr>
        <w:rPr>
          <w:rFonts w:ascii="Calibri" w:eastAsia="Calibri" w:hAnsi="Calibri" w:cs="Calibri"/>
          <w:bCs/>
        </w:rPr>
      </w:pPr>
      <w:r w:rsidRPr="00E675D7">
        <w:rPr>
          <w:rFonts w:ascii="Calibri" w:eastAsia="Calibri" w:hAnsi="Calibri" w:cs="Calibri"/>
          <w:bCs/>
        </w:rPr>
        <w:t>Director</w:t>
      </w:r>
    </w:p>
    <w:p w14:paraId="237DA0C6" w14:textId="77777777" w:rsidR="009D7026" w:rsidRPr="00E675D7" w:rsidRDefault="009D7026" w:rsidP="009D7026">
      <w:pPr>
        <w:rPr>
          <w:rFonts w:ascii="Calibri" w:eastAsia="Calibri" w:hAnsi="Calibri" w:cs="Calibri"/>
          <w:bCs/>
        </w:rPr>
      </w:pPr>
      <w:r w:rsidRPr="00E675D7">
        <w:rPr>
          <w:rFonts w:ascii="Calibri" w:eastAsia="Calibri" w:hAnsi="Calibri" w:cs="Calibri"/>
          <w:bCs/>
        </w:rPr>
        <w:t xml:space="preserve">Governor’s Office of Management and Budget                                  </w:t>
      </w:r>
    </w:p>
    <w:p w14:paraId="258D8D7E" w14:textId="77777777" w:rsidR="009D7026" w:rsidRDefault="009D7026" w:rsidP="009D7026">
      <w:pPr>
        <w:rPr>
          <w:rFonts w:ascii="Calibri" w:eastAsia="Calibri" w:hAnsi="Calibri" w:cs="Calibri"/>
          <w:b/>
          <w:bCs/>
          <w:sz w:val="24"/>
          <w:szCs w:val="24"/>
        </w:rPr>
      </w:pPr>
    </w:p>
    <w:p w14:paraId="4279F224" w14:textId="77777777" w:rsidR="009D7026" w:rsidRDefault="009D7026" w:rsidP="009D7026">
      <w:pPr>
        <w:spacing w:before="1"/>
        <w:rPr>
          <w:rFonts w:ascii="Calibri" w:eastAsia="Calibri" w:hAnsi="Calibri" w:cs="Calibri"/>
          <w:b/>
          <w:bCs/>
          <w:sz w:val="24"/>
          <w:szCs w:val="24"/>
        </w:rPr>
      </w:pPr>
    </w:p>
    <w:p w14:paraId="5B4B20F9" w14:textId="77777777" w:rsidR="009D7026" w:rsidRDefault="009D7026" w:rsidP="009D7026">
      <w:pPr>
        <w:spacing w:before="1"/>
        <w:rPr>
          <w:rFonts w:ascii="Calibri" w:eastAsia="Calibri" w:hAnsi="Calibri" w:cs="Calibri"/>
          <w:b/>
          <w:bCs/>
          <w:sz w:val="24"/>
          <w:szCs w:val="24"/>
        </w:rPr>
        <w:sectPr w:rsidR="009D7026">
          <w:footerReference w:type="default" r:id="rId8"/>
          <w:pgSz w:w="12240" w:h="15840"/>
          <w:pgMar w:top="1400" w:right="960" w:bottom="280" w:left="9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6C3CDEC0" w14:textId="77777777" w:rsidR="009D7026" w:rsidRPr="00380377" w:rsidRDefault="009D7026" w:rsidP="009D7026">
      <w:pPr>
        <w:spacing w:before="1"/>
        <w:rPr>
          <w:b/>
          <w:i/>
        </w:rPr>
      </w:pPr>
      <w:r w:rsidRPr="00380377">
        <w:rPr>
          <w:b/>
          <w:i/>
        </w:rPr>
        <w:lastRenderedPageBreak/>
        <w:t xml:space="preserve">Criteria (1) “The extent to which the agency or program has permitted qualified applicants to serve the public.” </w:t>
      </w:r>
    </w:p>
    <w:p w14:paraId="763A53F9" w14:textId="77777777" w:rsidR="009D7026" w:rsidRDefault="009D7026" w:rsidP="009D7026">
      <w:pPr>
        <w:spacing w:before="1"/>
        <w:rPr>
          <w:i/>
        </w:rPr>
      </w:pPr>
    </w:p>
    <w:p w14:paraId="36B46AC6" w14:textId="796DB446" w:rsidR="009D7026" w:rsidRDefault="002270C8" w:rsidP="009D7026">
      <w:r w:rsidRPr="002270C8">
        <w:t xml:space="preserve">The Illinois Health Information Exchange and Technology Act is not a regulatory function of the State </w:t>
      </w:r>
      <w:proofErr w:type="gramStart"/>
      <w:r w:rsidRPr="002270C8">
        <w:t>similar to</w:t>
      </w:r>
      <w:proofErr w:type="gramEnd"/>
      <w:r w:rsidRPr="002270C8">
        <w:t xml:space="preserve"> those regulated activities typically covered under </w:t>
      </w:r>
      <w:r w:rsidR="00FB68F5">
        <w:t>state statute</w:t>
      </w:r>
      <w:r w:rsidRPr="002270C8">
        <w:t xml:space="preserve">. </w:t>
      </w:r>
      <w:r w:rsidR="00D27AD5">
        <w:t>T</w:t>
      </w:r>
      <w:r w:rsidRPr="002270C8">
        <w:t>here are no licensed entities</w:t>
      </w:r>
      <w:r w:rsidR="00D27AD5">
        <w:t xml:space="preserve"> under the Illinois Health Information Exchange and Technology Act</w:t>
      </w:r>
      <w:r w:rsidR="000743D2">
        <w:t>.</w:t>
      </w:r>
    </w:p>
    <w:p w14:paraId="4270F663" w14:textId="77777777" w:rsidR="002270C8" w:rsidRDefault="002270C8" w:rsidP="009D7026"/>
    <w:p w14:paraId="02A9003F" w14:textId="0FC07B7F" w:rsidR="009D7026" w:rsidRDefault="002270C8" w:rsidP="009D7026">
      <w:r w:rsidRPr="002270C8">
        <w:t xml:space="preserve">The primary purpose of the Illinois Health Information Exchange Authority is to facilitate the transmission of electronic medical records across many diverse providers </w:t>
      </w:r>
      <w:r w:rsidR="000743D2">
        <w:t xml:space="preserve">to improve </w:t>
      </w:r>
      <w:r w:rsidRPr="002270C8">
        <w:t>access to health information that would otherwise be unavailable to health care providers. This began as an initiative of the American Recovery and Reinvestment Act of 2009</w:t>
      </w:r>
      <w:r w:rsidR="000743D2">
        <w:t xml:space="preserve"> </w:t>
      </w:r>
      <w:r w:rsidRPr="002270C8">
        <w:t>enacted into law with executive order 2010-1</w:t>
      </w:r>
      <w:r w:rsidR="00D27AD5">
        <w:t xml:space="preserve">. This </w:t>
      </w:r>
      <w:r w:rsidRPr="002270C8">
        <w:t xml:space="preserve">created the Governor’s Office of Health Information Technology and </w:t>
      </w:r>
      <w:r w:rsidR="00D27AD5">
        <w:t xml:space="preserve">subsequently </w:t>
      </w:r>
      <w:r w:rsidRPr="002270C8">
        <w:t>the Illinois Health Information Exchange Authority via statute in July of 2010.</w:t>
      </w:r>
    </w:p>
    <w:p w14:paraId="287B20EB" w14:textId="77777777" w:rsidR="0063071A" w:rsidRPr="0063071A" w:rsidRDefault="0063071A" w:rsidP="009D7026"/>
    <w:p w14:paraId="3828B316" w14:textId="77777777" w:rsidR="009D7026" w:rsidRPr="00871D95" w:rsidRDefault="009D7026" w:rsidP="009D7026">
      <w:pPr>
        <w:rPr>
          <w:u w:val="single"/>
        </w:rPr>
      </w:pPr>
    </w:p>
    <w:p w14:paraId="0C6B13A9" w14:textId="77777777" w:rsidR="009D7026" w:rsidRPr="00380377" w:rsidRDefault="009D7026" w:rsidP="009D7026">
      <w:pPr>
        <w:spacing w:before="1"/>
        <w:rPr>
          <w:b/>
          <w:i/>
        </w:rPr>
      </w:pPr>
      <w:r w:rsidRPr="00380377">
        <w:rPr>
          <w:b/>
          <w:i/>
        </w:rPr>
        <w:t xml:space="preserve">Criteria (2) “The extent to which the trade, business, profession, occupation, or industry being regulated is being administered in a nondiscriminatory manner both in terms of employment and rendering of services.” </w:t>
      </w:r>
    </w:p>
    <w:p w14:paraId="02DDE482" w14:textId="77777777" w:rsidR="009D7026" w:rsidRDefault="009D7026" w:rsidP="009D7026">
      <w:pPr>
        <w:spacing w:before="1"/>
        <w:rPr>
          <w:i/>
        </w:rPr>
      </w:pPr>
    </w:p>
    <w:p w14:paraId="159405DA" w14:textId="77777777" w:rsidR="009D7026" w:rsidRDefault="0063071A" w:rsidP="009D7026">
      <w:r>
        <w:t>See above.</w:t>
      </w:r>
    </w:p>
    <w:p w14:paraId="6AB13FA1" w14:textId="77777777" w:rsidR="009D7026" w:rsidRPr="00A20A63" w:rsidRDefault="009D7026" w:rsidP="009D7026"/>
    <w:p w14:paraId="2CE3069D" w14:textId="77777777" w:rsidR="009D7026" w:rsidRDefault="009D7026" w:rsidP="009D7026"/>
    <w:p w14:paraId="1C8189EE" w14:textId="77777777" w:rsidR="009D7026" w:rsidRPr="00380377" w:rsidRDefault="009D7026" w:rsidP="009D7026">
      <w:pPr>
        <w:spacing w:before="1"/>
        <w:rPr>
          <w:b/>
          <w:i/>
        </w:rPr>
      </w:pPr>
      <w:r w:rsidRPr="00380377">
        <w:rPr>
          <w:b/>
          <w:i/>
        </w:rPr>
        <w:t xml:space="preserve">Criteria (3) “The extent to which the regulatory agency or program has operated in the public interest, and the extent to which its operation has been impeded or enhanced by existing statutes, procedures, and practices of any other department of state government, and any other circumstances, including budgetary resources, and personnel matters.” </w:t>
      </w:r>
    </w:p>
    <w:p w14:paraId="30954195" w14:textId="77777777" w:rsidR="009D7026" w:rsidRDefault="009D7026" w:rsidP="009D7026">
      <w:pPr>
        <w:spacing w:before="1"/>
        <w:rPr>
          <w:i/>
        </w:rPr>
      </w:pPr>
    </w:p>
    <w:p w14:paraId="6901CDF6" w14:textId="77777777" w:rsidR="009D7026" w:rsidRDefault="0063071A" w:rsidP="009D7026">
      <w:r>
        <w:t>See above.</w:t>
      </w:r>
    </w:p>
    <w:p w14:paraId="05475899" w14:textId="77777777" w:rsidR="009D7026" w:rsidRDefault="009D7026" w:rsidP="009D7026"/>
    <w:p w14:paraId="1D1E8D39" w14:textId="77777777" w:rsidR="009D7026" w:rsidRDefault="009D7026" w:rsidP="009D7026">
      <w:pPr>
        <w:rPr>
          <w:b/>
          <w:i/>
        </w:rPr>
      </w:pPr>
    </w:p>
    <w:p w14:paraId="381C7A8E" w14:textId="77777777" w:rsidR="009D7026" w:rsidRPr="00380377" w:rsidRDefault="009D7026" w:rsidP="009D7026">
      <w:pPr>
        <w:rPr>
          <w:b/>
          <w:i/>
        </w:rPr>
      </w:pPr>
      <w:r w:rsidRPr="00380377">
        <w:rPr>
          <w:b/>
          <w:i/>
        </w:rPr>
        <w:t>Criteria (4) “The extent to which the agency running the program has recommended statutory changes to the General Assembly that would benefit the public as opposed to the persons it regulates.”</w:t>
      </w:r>
    </w:p>
    <w:p w14:paraId="379671ED" w14:textId="77777777" w:rsidR="009D7026" w:rsidRPr="00F7075F" w:rsidRDefault="009D7026" w:rsidP="009D7026">
      <w:pPr>
        <w:rPr>
          <w:i/>
        </w:rPr>
      </w:pPr>
    </w:p>
    <w:p w14:paraId="219D70DC" w14:textId="77777777" w:rsidR="009D7026" w:rsidRPr="0063071A" w:rsidRDefault="0063071A" w:rsidP="009D7026">
      <w:r w:rsidRPr="0063071A">
        <w:t>See above.</w:t>
      </w:r>
    </w:p>
    <w:p w14:paraId="2FFF60A5" w14:textId="77777777" w:rsidR="009D7026" w:rsidRDefault="009D7026" w:rsidP="009D7026"/>
    <w:p w14:paraId="732B60AC" w14:textId="77777777" w:rsidR="009D7026" w:rsidRPr="00380377" w:rsidRDefault="009D7026" w:rsidP="009D7026">
      <w:pPr>
        <w:rPr>
          <w:b/>
          <w:i/>
        </w:rPr>
      </w:pPr>
      <w:r w:rsidRPr="00380377">
        <w:rPr>
          <w:b/>
          <w:i/>
        </w:rPr>
        <w:t>Criteria (5) “The extent to which the agency or program has required the persons it regulates to report to it concerning the impact of rules and decisions of the agency or the impact of the program on the public regarding improved service, economy of service, and availability of service.”</w:t>
      </w:r>
    </w:p>
    <w:p w14:paraId="6228924E" w14:textId="77777777" w:rsidR="009D7026" w:rsidRPr="00F7075F" w:rsidRDefault="009D7026" w:rsidP="009D7026">
      <w:pPr>
        <w:rPr>
          <w:i/>
        </w:rPr>
      </w:pPr>
    </w:p>
    <w:p w14:paraId="4981A2DC" w14:textId="77777777" w:rsidR="009D7026" w:rsidRDefault="0063071A" w:rsidP="009D7026">
      <w:r>
        <w:t>See above.</w:t>
      </w:r>
    </w:p>
    <w:p w14:paraId="0D51BAAD" w14:textId="77777777" w:rsidR="009D7026" w:rsidRDefault="009D7026" w:rsidP="009D7026"/>
    <w:p w14:paraId="13732FC7" w14:textId="77777777" w:rsidR="009D7026" w:rsidRDefault="009D7026" w:rsidP="009D7026"/>
    <w:p w14:paraId="44FCB039" w14:textId="77777777" w:rsidR="009D7026" w:rsidRPr="00380377" w:rsidRDefault="009D7026" w:rsidP="009D7026">
      <w:pPr>
        <w:rPr>
          <w:b/>
          <w:i/>
        </w:rPr>
      </w:pPr>
      <w:r w:rsidRPr="00380377">
        <w:rPr>
          <w:b/>
          <w:i/>
        </w:rPr>
        <w:t>Criteria (6) “The extent to which persons regulated by the agency or under the program have been required to assess the problems in their industry that affect the public.”</w:t>
      </w:r>
    </w:p>
    <w:p w14:paraId="2D0146C3" w14:textId="77777777" w:rsidR="009D7026" w:rsidRPr="00F7075F" w:rsidRDefault="009D7026" w:rsidP="009D7026">
      <w:pPr>
        <w:rPr>
          <w:i/>
        </w:rPr>
      </w:pPr>
    </w:p>
    <w:p w14:paraId="25046854" w14:textId="77777777" w:rsidR="009D7026" w:rsidRPr="00F4306B" w:rsidRDefault="0063071A" w:rsidP="009D7026">
      <w:r>
        <w:t>See above.</w:t>
      </w:r>
    </w:p>
    <w:p w14:paraId="35232EEA" w14:textId="77777777" w:rsidR="009D7026" w:rsidRDefault="009D7026" w:rsidP="009D7026"/>
    <w:p w14:paraId="21CB9D07" w14:textId="77777777" w:rsidR="009D7026" w:rsidRDefault="009D7026" w:rsidP="009D7026"/>
    <w:p w14:paraId="1B53DD1A" w14:textId="77777777" w:rsidR="009D7026" w:rsidRPr="00380377" w:rsidRDefault="009D7026" w:rsidP="009D7026">
      <w:pPr>
        <w:rPr>
          <w:b/>
          <w:i/>
        </w:rPr>
      </w:pPr>
      <w:r w:rsidRPr="00380377">
        <w:rPr>
          <w:b/>
          <w:i/>
        </w:rPr>
        <w:t>Criteria (7) “The extent to which the agency or program has encouraged participation by the public in making its rules and decisions as opposed to participation solely by the persons it regulates and the extent to which such rules and decisions are consistent with statutory authority.”</w:t>
      </w:r>
    </w:p>
    <w:p w14:paraId="7B55F3D3" w14:textId="77777777" w:rsidR="009D7026" w:rsidRPr="00F7075F" w:rsidRDefault="009D7026" w:rsidP="009D7026">
      <w:pPr>
        <w:rPr>
          <w:i/>
        </w:rPr>
      </w:pPr>
    </w:p>
    <w:p w14:paraId="2B77ED80" w14:textId="77777777" w:rsidR="009D7026" w:rsidRPr="00F4306B" w:rsidRDefault="0063071A" w:rsidP="009D7026">
      <w:r>
        <w:t>See above.</w:t>
      </w:r>
    </w:p>
    <w:p w14:paraId="32DF071E" w14:textId="77777777" w:rsidR="009D7026" w:rsidRDefault="009D7026" w:rsidP="009D7026">
      <w:pPr>
        <w:rPr>
          <w:i/>
        </w:rPr>
      </w:pPr>
    </w:p>
    <w:p w14:paraId="3120C58B" w14:textId="77777777" w:rsidR="009D7026" w:rsidRDefault="009D7026" w:rsidP="009D7026">
      <w:pPr>
        <w:rPr>
          <w:i/>
        </w:rPr>
      </w:pPr>
    </w:p>
    <w:p w14:paraId="51472F73" w14:textId="77777777" w:rsidR="009D7026" w:rsidRPr="00380377" w:rsidRDefault="009D7026" w:rsidP="009D7026">
      <w:pPr>
        <w:rPr>
          <w:b/>
          <w:i/>
        </w:rPr>
      </w:pPr>
      <w:r w:rsidRPr="00380377">
        <w:rPr>
          <w:b/>
          <w:i/>
        </w:rPr>
        <w:t>Criteria (8) “The efficiency with which formal public complaints filed with the regulatory agency or under the program concerning persons subject to regulation have been processed to completion, by the executive director of the regulatory agencies or programs, by the Attorney General and by any other applicable department of the State government.”</w:t>
      </w:r>
    </w:p>
    <w:p w14:paraId="32F43355" w14:textId="77777777" w:rsidR="009D7026" w:rsidRPr="00F7075F" w:rsidRDefault="009D7026" w:rsidP="009D7026">
      <w:pPr>
        <w:rPr>
          <w:i/>
        </w:rPr>
      </w:pPr>
    </w:p>
    <w:p w14:paraId="5D621493" w14:textId="77777777" w:rsidR="009D7026" w:rsidRPr="0063071A" w:rsidRDefault="0063071A" w:rsidP="009D7026">
      <w:r w:rsidRPr="0063071A">
        <w:t>See above.</w:t>
      </w:r>
    </w:p>
    <w:p w14:paraId="16BC3D4C" w14:textId="77777777" w:rsidR="009D7026" w:rsidRDefault="009D7026" w:rsidP="009D7026">
      <w:pPr>
        <w:rPr>
          <w:b/>
          <w:i/>
        </w:rPr>
      </w:pPr>
    </w:p>
    <w:p w14:paraId="4E8843AE" w14:textId="77777777" w:rsidR="009D7026" w:rsidRDefault="009D7026" w:rsidP="009D7026">
      <w:pPr>
        <w:rPr>
          <w:b/>
          <w:i/>
        </w:rPr>
      </w:pPr>
      <w:r w:rsidRPr="00380377">
        <w:rPr>
          <w:b/>
          <w:i/>
        </w:rPr>
        <w:t>Criteria (9) “The extent to which changes are necessary in the enabling laws of the agency or program to adequately comply with the factors listed in this section.”</w:t>
      </w:r>
    </w:p>
    <w:p w14:paraId="5C995774" w14:textId="77777777" w:rsidR="009D7026" w:rsidRDefault="009D7026" w:rsidP="009D7026"/>
    <w:p w14:paraId="01BCF6E7" w14:textId="77777777" w:rsidR="009D7026" w:rsidRPr="0063071A" w:rsidRDefault="0063071A" w:rsidP="0063071A">
      <w:r w:rsidRPr="0063071A">
        <w:t>See above.</w:t>
      </w:r>
    </w:p>
    <w:p w14:paraId="4958B5C3" w14:textId="77777777" w:rsidR="009D7026" w:rsidRDefault="009D7026" w:rsidP="009D7026"/>
    <w:p w14:paraId="6B41DC5F" w14:textId="77777777" w:rsidR="009D7026" w:rsidRDefault="009D7026" w:rsidP="009D7026"/>
    <w:p w14:paraId="58B013E2" w14:textId="77777777" w:rsidR="009D7026" w:rsidRDefault="009D7026" w:rsidP="009D7026">
      <w:pPr>
        <w:rPr>
          <w:b/>
        </w:rPr>
      </w:pPr>
      <w:r w:rsidRPr="00380377">
        <w:rPr>
          <w:b/>
        </w:rPr>
        <w:t>Conclusion:</w:t>
      </w:r>
    </w:p>
    <w:p w14:paraId="75F7AA2D" w14:textId="77777777" w:rsidR="009D7026" w:rsidRDefault="009D7026" w:rsidP="009D7026">
      <w:pPr>
        <w:rPr>
          <w:b/>
        </w:rPr>
      </w:pPr>
    </w:p>
    <w:p w14:paraId="394881D3" w14:textId="7E304F49" w:rsidR="000625F6" w:rsidRDefault="000625F6" w:rsidP="000625F6">
      <w:r w:rsidRPr="000625F6">
        <w:t xml:space="preserve">There are ongoing discussions on </w:t>
      </w:r>
      <w:r w:rsidR="00EB2828">
        <w:t>h</w:t>
      </w:r>
      <w:r w:rsidRPr="000625F6">
        <w:t xml:space="preserve">ealthcare </w:t>
      </w:r>
      <w:r w:rsidR="00EB2828">
        <w:t>a</w:t>
      </w:r>
      <w:r w:rsidRPr="000625F6">
        <w:t xml:space="preserve">ffordability and </w:t>
      </w:r>
      <w:r w:rsidR="00EB2828">
        <w:t>a</w:t>
      </w:r>
      <w:r w:rsidRPr="000625F6">
        <w:t>ccessibility</w:t>
      </w:r>
      <w:r>
        <w:t xml:space="preserve"> among interested stakeholders.</w:t>
      </w:r>
      <w:r w:rsidRPr="000625F6">
        <w:t xml:space="preserve"> </w:t>
      </w:r>
      <w:r>
        <w:t xml:space="preserve">Some stakeholders believe that </w:t>
      </w:r>
      <w:r w:rsidR="00186DB5" w:rsidRPr="00186DB5">
        <w:t>The Illinois Health Information Exchange and Technology Act</w:t>
      </w:r>
      <w:r w:rsidR="00186DB5" w:rsidRPr="00186DB5" w:rsidDel="00186DB5">
        <w:t xml:space="preserve"> </w:t>
      </w:r>
      <w:r w:rsidRPr="000625F6">
        <w:t>provide</w:t>
      </w:r>
      <w:r w:rsidR="00EB2828">
        <w:t>s</w:t>
      </w:r>
      <w:r w:rsidRPr="000625F6">
        <w:t xml:space="preserve"> legislative authorization for changes to the technological infrastructure in ways </w:t>
      </w:r>
      <w:r w:rsidR="00EB2828">
        <w:t xml:space="preserve">beyond the </w:t>
      </w:r>
      <w:r w:rsidR="00EB2828" w:rsidRPr="000625F6">
        <w:t xml:space="preserve">authority </w:t>
      </w:r>
      <w:r w:rsidR="00EB2828">
        <w:t xml:space="preserve">of </w:t>
      </w:r>
      <w:r w:rsidRPr="000625F6">
        <w:t>existing legislati</w:t>
      </w:r>
      <w:r w:rsidR="00EB2828">
        <w:t xml:space="preserve">on.  </w:t>
      </w:r>
      <w:r>
        <w:t xml:space="preserve">For this reason, the </w:t>
      </w:r>
      <w:r w:rsidR="006562B3">
        <w:t>Department of Healthcare and Family Services believes the</w:t>
      </w:r>
      <w:r w:rsidR="002270C8" w:rsidRPr="002270C8">
        <w:t xml:space="preserve"> absence of this act </w:t>
      </w:r>
      <w:r w:rsidR="00EB2828">
        <w:t xml:space="preserve">could have a </w:t>
      </w:r>
      <w:r w:rsidR="002270C8" w:rsidRPr="002270C8">
        <w:t>negative impact</w:t>
      </w:r>
      <w:r w:rsidR="00B43263">
        <w:t xml:space="preserve"> on</w:t>
      </w:r>
      <w:r w:rsidR="002270C8" w:rsidRPr="002270C8">
        <w:t xml:space="preserve"> </w:t>
      </w:r>
      <w:r w:rsidR="0063071A">
        <w:t>the state’s</w:t>
      </w:r>
      <w:r w:rsidR="002270C8" w:rsidRPr="002270C8">
        <w:t xml:space="preserve"> ability to improve public health.</w:t>
      </w:r>
      <w:r>
        <w:t xml:space="preserve"> </w:t>
      </w:r>
    </w:p>
    <w:p w14:paraId="272E7E82" w14:textId="3DB8045D" w:rsidR="000625F6" w:rsidRDefault="000625F6" w:rsidP="000625F6"/>
    <w:p w14:paraId="53899CB9" w14:textId="1437B242" w:rsidR="00A65743" w:rsidRDefault="000625F6" w:rsidP="000625F6">
      <w:r w:rsidRPr="000625F6">
        <w:t>Consequently, GOMB recommends the continuation of the Illinois Health Information Exchange and Technology Act</w:t>
      </w:r>
      <w:r>
        <w:t>.</w:t>
      </w:r>
    </w:p>
    <w:sectPr w:rsidR="00A65743" w:rsidSect="00561D3D">
      <w:footerReference w:type="default" r:id="rId9"/>
      <w:pgSz w:w="12240" w:h="15840"/>
      <w:pgMar w:top="1296" w:right="965" w:bottom="259" w:left="965"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227B6" w14:textId="77777777" w:rsidR="00AC5101" w:rsidRDefault="00AC5101">
      <w:r>
        <w:separator/>
      </w:r>
    </w:p>
  </w:endnote>
  <w:endnote w:type="continuationSeparator" w:id="0">
    <w:p w14:paraId="045C2648" w14:textId="77777777" w:rsidR="00AC5101" w:rsidRDefault="00AC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073AB" w14:textId="77777777" w:rsidR="00F57559" w:rsidRDefault="00AC5101">
    <w:pPr>
      <w:pStyle w:val="Footer"/>
      <w:jc w:val="right"/>
    </w:pPr>
  </w:p>
  <w:p w14:paraId="23E24648" w14:textId="77777777" w:rsidR="00F57559" w:rsidRDefault="00AC51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513305"/>
      <w:docPartObj>
        <w:docPartGallery w:val="Page Numbers (Bottom of Page)"/>
        <w:docPartUnique/>
      </w:docPartObj>
    </w:sdtPr>
    <w:sdtEndPr>
      <w:rPr>
        <w:noProof/>
      </w:rPr>
    </w:sdtEndPr>
    <w:sdtContent>
      <w:p w14:paraId="67808A42" w14:textId="38429ABF" w:rsidR="00191420" w:rsidRDefault="002270C8">
        <w:pPr>
          <w:pStyle w:val="Footer"/>
          <w:jc w:val="right"/>
        </w:pPr>
        <w:r>
          <w:fldChar w:fldCharType="begin"/>
        </w:r>
        <w:r>
          <w:instrText xml:space="preserve"> PAGE   \* MERGEFORMAT </w:instrText>
        </w:r>
        <w:r>
          <w:fldChar w:fldCharType="separate"/>
        </w:r>
        <w:r w:rsidR="00647961">
          <w:rPr>
            <w:noProof/>
          </w:rPr>
          <w:t>4</w:t>
        </w:r>
        <w:r>
          <w:rPr>
            <w:noProof/>
          </w:rPr>
          <w:fldChar w:fldCharType="end"/>
        </w:r>
      </w:p>
    </w:sdtContent>
  </w:sdt>
  <w:p w14:paraId="4944EECD" w14:textId="77777777" w:rsidR="00191420" w:rsidRDefault="00AC51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867CD" w14:textId="77777777" w:rsidR="00AC5101" w:rsidRDefault="00AC5101">
      <w:r>
        <w:separator/>
      </w:r>
    </w:p>
  </w:footnote>
  <w:footnote w:type="continuationSeparator" w:id="0">
    <w:p w14:paraId="0AA6E771" w14:textId="77777777" w:rsidR="00AC5101" w:rsidRDefault="00AC5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1762F"/>
    <w:multiLevelType w:val="hybridMultilevel"/>
    <w:tmpl w:val="146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FB53DD"/>
    <w:multiLevelType w:val="hybridMultilevel"/>
    <w:tmpl w:val="121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026"/>
    <w:rsid w:val="000625F6"/>
    <w:rsid w:val="000743D2"/>
    <w:rsid w:val="000B5F92"/>
    <w:rsid w:val="00186DB5"/>
    <w:rsid w:val="002270C8"/>
    <w:rsid w:val="00305C06"/>
    <w:rsid w:val="00325D0C"/>
    <w:rsid w:val="0035112C"/>
    <w:rsid w:val="00462691"/>
    <w:rsid w:val="004701A4"/>
    <w:rsid w:val="0063071A"/>
    <w:rsid w:val="00647961"/>
    <w:rsid w:val="006562B3"/>
    <w:rsid w:val="009D7026"/>
    <w:rsid w:val="00A50674"/>
    <w:rsid w:val="00AC5101"/>
    <w:rsid w:val="00B43263"/>
    <w:rsid w:val="00B723D3"/>
    <w:rsid w:val="00D20691"/>
    <w:rsid w:val="00D27AD5"/>
    <w:rsid w:val="00D82B79"/>
    <w:rsid w:val="00EB2828"/>
    <w:rsid w:val="00EB3979"/>
    <w:rsid w:val="00FB6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74112"/>
  <w15:chartTrackingRefBased/>
  <w15:docId w15:val="{3C1D8EA7-8B57-4B97-B2EC-286A71221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D7026"/>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026"/>
  </w:style>
  <w:style w:type="table" w:styleId="TableGrid">
    <w:name w:val="Table Grid"/>
    <w:basedOn w:val="TableNormal"/>
    <w:uiPriority w:val="59"/>
    <w:rsid w:val="009D70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9D7026"/>
    <w:pPr>
      <w:tabs>
        <w:tab w:val="center" w:pos="4680"/>
        <w:tab w:val="right" w:pos="9360"/>
      </w:tabs>
    </w:pPr>
  </w:style>
  <w:style w:type="character" w:customStyle="1" w:styleId="FooterChar">
    <w:name w:val="Footer Char"/>
    <w:basedOn w:val="DefaultParagraphFont"/>
    <w:link w:val="Footer"/>
    <w:uiPriority w:val="99"/>
    <w:rsid w:val="009D7026"/>
  </w:style>
  <w:style w:type="paragraph" w:styleId="BalloonText">
    <w:name w:val="Balloon Text"/>
    <w:basedOn w:val="Normal"/>
    <w:link w:val="BalloonTextChar"/>
    <w:uiPriority w:val="99"/>
    <w:semiHidden/>
    <w:unhideWhenUsed/>
    <w:rsid w:val="00D206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0691"/>
    <w:rPr>
      <w:rFonts w:ascii="Segoe UI" w:hAnsi="Segoe UI" w:cs="Segoe UI"/>
      <w:sz w:val="18"/>
      <w:szCs w:val="18"/>
    </w:rPr>
  </w:style>
  <w:style w:type="character" w:styleId="CommentReference">
    <w:name w:val="annotation reference"/>
    <w:basedOn w:val="DefaultParagraphFont"/>
    <w:uiPriority w:val="99"/>
    <w:semiHidden/>
    <w:unhideWhenUsed/>
    <w:rsid w:val="000743D2"/>
    <w:rPr>
      <w:sz w:val="16"/>
      <w:szCs w:val="16"/>
    </w:rPr>
  </w:style>
  <w:style w:type="paragraph" w:styleId="CommentText">
    <w:name w:val="annotation text"/>
    <w:basedOn w:val="Normal"/>
    <w:link w:val="CommentTextChar"/>
    <w:uiPriority w:val="99"/>
    <w:semiHidden/>
    <w:unhideWhenUsed/>
    <w:rsid w:val="000743D2"/>
    <w:rPr>
      <w:sz w:val="20"/>
      <w:szCs w:val="20"/>
    </w:rPr>
  </w:style>
  <w:style w:type="character" w:customStyle="1" w:styleId="CommentTextChar">
    <w:name w:val="Comment Text Char"/>
    <w:basedOn w:val="DefaultParagraphFont"/>
    <w:link w:val="CommentText"/>
    <w:uiPriority w:val="99"/>
    <w:semiHidden/>
    <w:rsid w:val="000743D2"/>
    <w:rPr>
      <w:sz w:val="20"/>
      <w:szCs w:val="20"/>
    </w:rPr>
  </w:style>
  <w:style w:type="paragraph" w:styleId="CommentSubject">
    <w:name w:val="annotation subject"/>
    <w:basedOn w:val="CommentText"/>
    <w:next w:val="CommentText"/>
    <w:link w:val="CommentSubjectChar"/>
    <w:uiPriority w:val="99"/>
    <w:semiHidden/>
    <w:unhideWhenUsed/>
    <w:rsid w:val="000743D2"/>
    <w:rPr>
      <w:b/>
      <w:bCs/>
    </w:rPr>
  </w:style>
  <w:style w:type="character" w:customStyle="1" w:styleId="CommentSubjectChar">
    <w:name w:val="Comment Subject Char"/>
    <w:basedOn w:val="CommentTextChar"/>
    <w:link w:val="CommentSubject"/>
    <w:uiPriority w:val="99"/>
    <w:semiHidden/>
    <w:rsid w:val="000743D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GOMB</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Groner, Adam</cp:lastModifiedBy>
  <cp:revision>2</cp:revision>
  <dcterms:created xsi:type="dcterms:W3CDTF">2020-12-10T20:49:00Z</dcterms:created>
  <dcterms:modified xsi:type="dcterms:W3CDTF">2020-12-10T20:49:00Z</dcterms:modified>
</cp:coreProperties>
</file>